
<file path=[Content_Types].xml><?xml version="1.0" encoding="utf-8"?>
<Types xmlns="http://schemas.openxmlformats.org/package/2006/content-types">
  <Default ContentType="image/png" Extension="png"/>
  <Default ContentType="application/xml" Extension="xml"/>
  <Default ContentType="application/vnd.openxmlformats-package.relationships+xml" Extension="rels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1" Target="word/document.xml" Type="http://schemas.openxmlformats.org/officeDocument/2006/relationships/officeDocument"/>
  <Relationship Id="rId2" Target="docProps/app.xml" Type="http://schemas.openxmlformats.org/officeDocument/2006/relationships/extended-properties"/>
  <Relationship Id="rId3" Target="docProps/core.xml" Type="http://schemas.openxmlformats.org/package/2006/relationships/metadata/core-properties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pStyle w:val="Style_1"/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Содержание проекта</w:t>
      </w:r>
      <w:r>
        <w:rPr>
          <w:rFonts w:ascii="Times New Roman" w:hAnsi="Times New Roman"/>
        </w:rPr>
        <w:t>:</w:t>
      </w:r>
    </w:p>
    <w:p w14:paraId="02000000">
      <w:pPr>
        <w:pStyle w:val="Style_1"/>
        <w:numPr>
          <w:numId w:val="1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dump</w:t>
      </w:r>
    </w:p>
    <w:p w14:paraId="03000000">
      <w:pPr>
        <w:pStyle w:val="Style_1"/>
        <w:numPr>
          <w:ilvl w:val="1"/>
          <w:numId w:val="1"/>
        </w:numPr>
        <w:ind w:firstLine="1417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backup.sql (резервная копия хранилища данных, используемого в проекте)</w:t>
      </w:r>
    </w:p>
    <w:p w14:paraId="04000000">
      <w:pPr>
        <w:pStyle w:val="Style_1"/>
        <w:numPr>
          <w:ilvl w:val="0"/>
          <w:numId w:val="1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nginx</w:t>
      </w:r>
    </w:p>
    <w:p w14:paraId="05000000">
      <w:pPr>
        <w:pStyle w:val="Style_1"/>
        <w:numPr>
          <w:ilvl w:val="1"/>
          <w:numId w:val="1"/>
        </w:numPr>
        <w:ind w:firstLine="1417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nginx.conf (главный конфигурационный файл nginx)</w:t>
      </w:r>
    </w:p>
    <w:p w14:paraId="06000000">
      <w:pPr>
        <w:pStyle w:val="Style_1"/>
        <w:numPr>
          <w:ilvl w:val="0"/>
          <w:numId w:val="1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templates</w:t>
      </w:r>
    </w:p>
    <w:p w14:paraId="07000000">
      <w:pPr>
        <w:pStyle w:val="Style_1"/>
        <w:numPr>
          <w:ilvl w:val="1"/>
          <w:numId w:val="1"/>
        </w:numPr>
        <w:ind w:firstLine="1417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index.html (файл вёрстки веб-сайта)</w:t>
      </w:r>
    </w:p>
    <w:p w14:paraId="08000000">
      <w:pPr>
        <w:pStyle w:val="Style_1"/>
        <w:numPr>
          <w:ilvl w:val="0"/>
          <w:numId w:val="1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docker-compose.yml (файл конфигурации сети контейнеров)</w:t>
      </w:r>
    </w:p>
    <w:p w14:paraId="09000000">
      <w:pPr>
        <w:pStyle w:val="Style_1"/>
        <w:numPr>
          <w:ilvl w:val="1"/>
          <w:numId w:val="1"/>
        </w:numPr>
        <w:ind w:firstLine="1417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Dockerfile (файл с инструкциями, необходимыми для создания образа контейнера)</w:t>
      </w:r>
    </w:p>
    <w:p w14:paraId="0A000000">
      <w:pPr>
        <w:pStyle w:val="Style_1"/>
        <w:numPr>
          <w:ilvl w:val="0"/>
          <w:numId w:val="1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main.py (файл веб-приложения на Flask)</w:t>
      </w:r>
    </w:p>
    <w:p w14:paraId="0B000000">
      <w:pPr>
        <w:pStyle w:val="Style_1"/>
        <w:numPr>
          <w:ilvl w:val="0"/>
          <w:numId w:val="1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requirements.txt (файл с необходимым набором модулей и пакетов)</w:t>
      </w:r>
    </w:p>
    <w:p w14:paraId="0C000000">
      <w:pPr>
        <w:ind w:firstLine="709" w:left="0"/>
        <w:jc w:val="both"/>
        <w:rPr>
          <w:rFonts w:ascii="Times New Roman" w:hAnsi="Times New Roman"/>
        </w:rPr>
      </w:pPr>
    </w:p>
    <w:p w14:paraId="0D000000">
      <w:p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Используемые контейнеры</w:t>
      </w:r>
      <w:r>
        <w:rPr>
          <w:rFonts w:ascii="Times New Roman" w:hAnsi="Times New Roman"/>
        </w:rPr>
        <w:t>:</w:t>
      </w:r>
    </w:p>
    <w:p w14:paraId="0E000000">
      <w:pPr>
        <w:numPr>
          <w:numId w:val="2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PostgreSQL (postgres_1lab_docker)</w:t>
      </w:r>
    </w:p>
    <w:p w14:paraId="0F000000">
      <w:pPr>
        <w:numPr>
          <w:numId w:val="2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Flask (python_1lab_docker)</w:t>
      </w:r>
    </w:p>
    <w:p w14:paraId="10000000">
      <w:pPr>
        <w:numPr>
          <w:numId w:val="2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Nginx (nginx_1lab_docker)</w:t>
      </w:r>
    </w:p>
    <w:p w14:paraId="11000000">
      <w:pPr>
        <w:ind w:firstLine="709" w:left="0"/>
        <w:jc w:val="both"/>
        <w:rPr>
          <w:rFonts w:ascii="Times New Roman" w:hAnsi="Times New Roman"/>
        </w:rPr>
      </w:pPr>
    </w:p>
    <w:p w14:paraId="12000000">
      <w:p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Запуск проекта</w:t>
      </w:r>
      <w:r>
        <w:rPr>
          <w:rFonts w:ascii="Times New Roman" w:hAnsi="Times New Roman"/>
        </w:rPr>
        <w:t>:</w:t>
      </w:r>
    </w:p>
    <w:p w14:paraId="13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Установить Docker Desktop</w:t>
      </w:r>
    </w:p>
    <w:p w14:paraId="14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Открыть командную строку из директории скачанного проекта</w:t>
      </w:r>
    </w:p>
    <w:p w14:paraId="15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Выполнить команду </w:t>
      </w:r>
      <w:r>
        <w:rPr>
          <w:rFonts w:ascii="Times New Roman" w:hAnsi="Times New Roman"/>
          <w:b w:val="1"/>
          <w:i w:val="1"/>
        </w:rPr>
        <w:t>docker-compose up</w:t>
      </w:r>
    </w:p>
    <w:p w14:paraId="16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pgAdmin создать новый сервер с настройками</w:t>
      </w:r>
    </w:p>
    <w:p w14:paraId="17000000">
      <w:pPr>
        <w:ind w:firstLine="709" w:left="709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hostname: localhost</w:t>
      </w:r>
    </w:p>
    <w:p w14:paraId="18000000">
      <w:pPr>
        <w:ind w:firstLine="709" w:left="709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port: 5432</w:t>
      </w:r>
    </w:p>
    <w:p w14:paraId="19000000">
      <w:pPr>
        <w:ind w:firstLine="709" w:left="709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database: db_person</w:t>
      </w:r>
    </w:p>
    <w:p w14:paraId="1A000000">
      <w:pPr>
        <w:ind w:firstLine="709" w:left="709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username: postgres</w:t>
      </w:r>
    </w:p>
    <w:p w14:paraId="1B000000">
      <w:pPr>
        <w:ind w:firstLine="709" w:left="709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password: 123</w:t>
      </w:r>
    </w:p>
    <w:p w14:paraId="1C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Создать новую таблицу "Person" c колонками</w:t>
      </w:r>
    </w:p>
    <w:p w14:paraId="1D000000">
      <w:pPr>
        <w:ind w:firstLine="0" w:left="1417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id (int)</w:t>
      </w:r>
    </w:p>
    <w:p w14:paraId="1E000000">
      <w:pPr>
        <w:ind w:firstLine="0" w:left="1417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full_name (varchar(100))</w:t>
      </w:r>
    </w:p>
    <w:p w14:paraId="1F000000">
      <w:pPr>
        <w:ind w:firstLine="0" w:left="1417"/>
        <w:jc w:val="both"/>
        <w:rPr>
          <w:rFonts w:ascii="Times New Roman" w:hAnsi="Times New Roman"/>
          <w:b w:val="1"/>
          <w:i w:val="1"/>
        </w:rPr>
      </w:pPr>
      <w:r>
        <w:rPr>
          <w:rFonts w:ascii="Times New Roman" w:hAnsi="Times New Roman"/>
          <w:b w:val="1"/>
          <w:i w:val="1"/>
        </w:rPr>
        <w:t>group_number (varchar(100))</w:t>
      </w:r>
    </w:p>
    <w:p w14:paraId="20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Заполнить таблицу "Person" информацией</w:t>
      </w:r>
      <w:r>
        <w:rPr>
          <w:rFonts w:ascii="Times New Roman" w:hAnsi="Times New Roman"/>
        </w:rPr>
        <w:tab/>
      </w:r>
    </w:p>
    <w:p w14:paraId="21000000">
      <w:pPr>
        <w:numPr>
          <w:numId w:val="3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Сделать запрос в браузере по адресу: </w:t>
      </w:r>
      <w:r>
        <w:rPr>
          <w:rStyle w:val="Style_2_ch"/>
          <w:rFonts w:ascii="Times New Roman" w:hAnsi="Times New Roman"/>
          <w:b w:val="1"/>
        </w:rPr>
        <w:fldChar w:fldCharType="begin"/>
      </w:r>
      <w:r>
        <w:rPr>
          <w:rStyle w:val="Style_2_ch"/>
          <w:rFonts w:ascii="Times New Roman" w:hAnsi="Times New Roman"/>
          <w:b w:val="1"/>
        </w:rPr>
        <w:instrText>HYPERLINK "http://127.0.0.1/1"</w:instrText>
      </w:r>
      <w:r>
        <w:rPr>
          <w:rStyle w:val="Style_2_ch"/>
          <w:rFonts w:ascii="Times New Roman" w:hAnsi="Times New Roman"/>
          <w:b w:val="1"/>
        </w:rPr>
        <w:fldChar w:fldCharType="separate"/>
      </w:r>
      <w:r>
        <w:rPr>
          <w:rStyle w:val="Style_2_ch"/>
          <w:rFonts w:ascii="Times New Roman" w:hAnsi="Times New Roman"/>
          <w:b w:val="1"/>
        </w:rPr>
        <w:t>http://127.0.0.1/1</w:t>
      </w:r>
      <w:r>
        <w:rPr>
          <w:rStyle w:val="Style_2_ch"/>
          <w:rFonts w:ascii="Times New Roman" w:hAnsi="Times New Roman"/>
          <w:b w:val="1"/>
        </w:rPr>
        <w:fldChar w:fldCharType="end"/>
      </w:r>
    </w:p>
    <w:p w14:paraId="22000000">
      <w:pPr>
        <w:ind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 </w:t>
      </w:r>
      <w:r>
        <w:br w:type="page"/>
      </w:r>
    </w:p>
    <w:p w14:paraId="23000000">
      <w:p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Результат выполнения проекта:</w:t>
      </w:r>
    </w:p>
    <w:p w14:paraId="24000000">
      <w:pPr>
        <w:numPr>
          <w:numId w:val="4"/>
        </w:numPr>
        <w:ind w:firstLine="709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Скриншоты работоспособности веб-сайта</w:t>
      </w:r>
    </w:p>
    <w:p w14:paraId="25000000">
      <w:pPr>
        <w:ind/>
        <w:jc w:val="center"/>
      </w:pPr>
      <w:r>
        <w:drawing>
          <wp:inline>
            <wp:extent cx="5053857" cy="3279532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tretch/>
                  </pic:blipFill>
                  <pic:spPr>
                    <a:xfrm flipH="false" flipV="false" rot="0">
                      <a:ext cx="5053857" cy="32795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6000000">
      <w:pPr>
        <w:numPr>
          <w:numId w:val="5"/>
        </w:numPr>
        <w:ind w:firstLine="709" w:left="0"/>
        <w:jc w:val="both"/>
      </w:pPr>
      <w:r>
        <w:t>Скриншот хранилища данных</w:t>
      </w:r>
    </w:p>
    <w:p w14:paraId="27000000">
      <w:pPr>
        <w:ind w:firstLine="709" w:left="0"/>
        <w:jc w:val="center"/>
      </w:pPr>
      <w:r>
        <w:drawing>
          <wp:inline>
            <wp:extent cx="5216622" cy="3691576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tretch/>
                  </pic:blipFill>
                  <pic:spPr>
                    <a:xfrm flipH="false" flipV="false" rot="0">
                      <a:ext cx="5216622" cy="369157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8000000">
      <w:pPr>
        <w:ind w:firstLine="709" w:left="0"/>
        <w:jc w:val="left"/>
      </w:pPr>
      <w:r>
        <w:br w:type="page"/>
      </w:r>
    </w:p>
    <w:p w14:paraId="29000000">
      <w:pPr>
        <w:ind w:firstLine="709" w:left="0"/>
        <w:jc w:val="left"/>
      </w:pPr>
      <w:r>
        <w:t>Обнаруженные уязвимости (сканирование Docker Scout)</w:t>
      </w:r>
    </w:p>
    <w:p w14:paraId="2A000000">
      <w:pPr>
        <w:numPr>
          <w:numId w:val="6"/>
        </w:numPr>
        <w:ind w:firstLine="709" w:left="0"/>
        <w:jc w:val="left"/>
      </w:pPr>
      <w:r>
        <w:t>В контейнере PostgreSQL</w:t>
      </w:r>
    </w:p>
    <w:p w14:paraId="2B000000">
      <w:pPr>
        <w:numPr>
          <w:numId w:val="7"/>
        </w:numPr>
        <w:ind w:firstLine="709" w:left="0"/>
        <w:jc w:val="left"/>
      </w:pPr>
      <w:r>
        <w:t>Общий результат</w:t>
      </w:r>
    </w:p>
    <w:p w14:paraId="2C000000">
      <w:pPr>
        <w:ind w:firstLine="0" w:left="0"/>
        <w:jc w:val="center"/>
      </w:pPr>
      <w:r>
        <w:drawing>
          <wp:inline>
            <wp:extent cx="5109465" cy="3167256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tretch/>
                  </pic:blipFill>
                  <pic:spPr>
                    <a:xfrm flipH="false" flipV="false" rot="0">
                      <a:ext cx="5109465" cy="31672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D000000">
      <w:pPr>
        <w:numPr>
          <w:numId w:val="8"/>
        </w:numPr>
        <w:ind w:firstLine="709" w:left="0"/>
        <w:jc w:val="left"/>
      </w:pPr>
      <w:r>
        <w:t>Наиболее значимые уязвимости по оценкам сканера</w:t>
      </w:r>
    </w:p>
    <w:p w14:paraId="2E000000">
      <w:pPr>
        <w:numPr>
          <w:numId w:val="9"/>
        </w:numPr>
        <w:ind w:firstLine="1134" w:left="0"/>
        <w:jc w:val="left"/>
      </w:pPr>
      <w:r>
        <w:t>Уязвимость 1:</w:t>
      </w:r>
    </w:p>
    <w:p w14:paraId="2F000000">
      <w:pPr>
        <w:ind w:firstLine="1417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Код уязвимости: </w:t>
      </w:r>
      <w:r>
        <w:rPr>
          <w:rFonts w:ascii="Times New Roman" w:hAnsi="Times New Roman"/>
        </w:rPr>
        <w:t>CVE-2024-24790</w:t>
      </w:r>
    </w:p>
    <w:p w14:paraId="30000000">
      <w:pPr>
        <w:numPr>
          <w:numId w:val="10"/>
        </w:numPr>
        <w:ind w:firstLine="1134" w:left="0"/>
        <w:jc w:val="left"/>
      </w:pPr>
      <w:r>
        <w:t xml:space="preserve">Описание уязвимости: </w:t>
      </w:r>
      <w:r>
        <w:t>Уязвимость компонента net-netip языка программирования Golang связана с некорректной работой методов Is (IsPrivate, IsLoopback и т. д.). Эксплуатация уязвимости может позволить нарушителю обойти существующую политику ограничения доступа</w:t>
      </w:r>
    </w:p>
    <w:p w14:paraId="31000000">
      <w:pPr>
        <w:numPr>
          <w:numId w:val="10"/>
        </w:numPr>
        <w:ind w:firstLine="1134" w:lef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t xml:space="preserve">Устранение уязвимости: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Запретить использование в ОС пакета golang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или </w:t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Установить обновление для пакета(ов) golang.</w:t>
      </w:r>
    </w:p>
    <w:p w14:paraId="32000000">
      <w:pPr>
        <w:numPr>
          <w:numId w:val="10"/>
        </w:numPr>
        <w:ind w:firstLine="0" w:lef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drawing>
          <wp:inline>
            <wp:extent cx="5311871" cy="329545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tretch/>
                  </pic:blipFill>
                  <pic:spPr>
                    <a:xfrm flipH="false" flipV="false" rot="0">
                      <a:ext cx="5311871" cy="329545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Скриншот отображения уязвимости</w:t>
      </w:r>
    </w:p>
    <w:p w14:paraId="33000000">
      <w:pPr>
        <w:ind w:firstLine="0" w:left="0"/>
        <w:jc w:val="center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</w:p>
    <w:p w14:paraId="34000000">
      <w:pPr>
        <w:numPr>
          <w:numId w:val="11"/>
        </w:numPr>
        <w:ind w:firstLine="1134" w:lef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Уязвимость 2:</w:t>
      </w:r>
    </w:p>
    <w:p w14:paraId="35000000">
      <w:pPr>
        <w:ind w:firstLine="1417" w:left="0"/>
        <w:jc w:val="left"/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Код уязвимости: </w:t>
      </w:r>
      <w:r>
        <w:rPr>
          <w:rFonts w:ascii="Times New Roman" w:hAnsi="Times New Roman"/>
        </w:rPr>
        <w:t>CVE-2023-24540</w:t>
      </w:r>
    </w:p>
    <w:p w14:paraId="36000000">
      <w:pPr>
        <w:numPr>
          <w:numId w:val="12"/>
        </w:numPr>
        <w:ind w:firstLine="1134" w:left="0"/>
        <w:jc w:val="left"/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Описание уязвимости: </w:t>
      </w:r>
      <w:r>
        <w:rPr>
          <w:rFonts w:ascii="Times New Roman" w:hAnsi="Times New Roman"/>
        </w:rPr>
        <w:t>Не все допустимые пробельные символы JavaScript считаются пробельными. Шаблоны, содержащие пробельные символы за пределами набора символов "\t\n\f\r \u0020\u2028\u2029" в контекстах JavaScript, которые также содержат действия, могут не подвергаться надлежащей очистке во время выполнения.</w:t>
      </w:r>
    </w:p>
    <w:p w14:paraId="37000000">
      <w:pPr>
        <w:numPr>
          <w:numId w:val="12"/>
        </w:numPr>
        <w:ind w:firstLine="1134" w:left="0"/>
        <w:jc w:val="left"/>
        <w:rPr>
          <w:rFonts w:ascii="Times New Roman" w:hAnsi="Times New Roman"/>
        </w:rPr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 xml:space="preserve">Устранение уязвимости: </w:t>
      </w:r>
      <w:r>
        <w:rPr>
          <w:rFonts w:ascii="Times New Roman" w:hAnsi="Times New Roman"/>
        </w:rPr>
        <w:t>Избегание использования пробельных символов, которые не входят в набор "\t\n\f\r \u0020\u2028\u2029", в особенности в шаблонах, где они могут быть введены пользователем или внешними источниками</w:t>
      </w:r>
    </w:p>
    <w:p w14:paraId="38000000">
      <w:pPr>
        <w:numPr>
          <w:numId w:val="12"/>
        </w:numPr>
        <w:ind w:firstLine="1134" w:left="0"/>
      </w:pPr>
      <w:r>
        <w:rPr>
          <w:rFonts w:ascii="Times New Roman" w:hAnsi="Times New Roman"/>
          <w:b w:val="0"/>
          <w:i w:val="0"/>
          <w:caps w:val="0"/>
          <w:color w:val="000000"/>
          <w:spacing w:val="0"/>
          <w:sz w:val="28"/>
        </w:rPr>
        <w:t>Скриншот отображения уязвимости</w:t>
      </w:r>
    </w:p>
    <w:p w14:paraId="39000000">
      <w:pPr>
        <w:ind w:firstLine="0" w:left="0"/>
        <w:jc w:val="center"/>
      </w:pPr>
      <w:r>
        <w:drawing>
          <wp:inline>
            <wp:extent cx="5258955" cy="3260656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tretch/>
                  </pic:blipFill>
                  <pic:spPr>
                    <a:xfrm flipH="false" flipV="false" rot="0">
                      <a:ext cx="5258955" cy="3260656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A000000">
      <w:pPr>
        <w:numPr>
          <w:numId w:val="13"/>
        </w:numPr>
        <w:ind w:firstLine="1134" w:left="0"/>
        <w:jc w:val="left"/>
      </w:pPr>
      <w:r>
        <w:t>Уязвимость 3:</w:t>
      </w:r>
    </w:p>
    <w:p w14:paraId="3B000000">
      <w:pPr>
        <w:ind w:firstLine="1417" w:left="0"/>
        <w:jc w:val="left"/>
      </w:pPr>
      <w:r>
        <w:t xml:space="preserve">Код уязвимости: </w:t>
      </w:r>
      <w:r>
        <w:t>CVE-2018-24538</w:t>
      </w:r>
    </w:p>
    <w:p w14:paraId="3C000000">
      <w:pPr>
        <w:numPr>
          <w:numId w:val="14"/>
        </w:numPr>
        <w:ind w:firstLine="1134" w:left="0"/>
        <w:jc w:val="left"/>
      </w:pPr>
      <w:r>
        <w:t>Описание уязвимости:</w:t>
      </w:r>
      <w:r>
        <w:t xml:space="preserve">Шаблоны неправильно рассматривают обратные кавычки (`) как разделители строк Javascript и не экранируют их должным образом. Обратные кавычки используются, начиная с ES6, для литералов шаблонов JS. Если шаблон содержит действие шаблона Go внутри литерала шаблона Javascript, содержимое действия можно использовать для завершения литерала, внедряя произвольный код Javascript в шаблон Go. Поскольку литералы шаблона ES6 довольно сложны и сами могут выполнять интерполяцию строк, было принято решение просто запретить использование действий шаблона Go внутри них (например, «var a = {{.}}»), поскольку очевидно безопасный способ разрешить такое поведение. Здесь используется тот же подход, что и на github.com/google/safehtml. После исправления Template.Parse возвращает ошибку при обнаружении подобных шаблонов со значением ErrorCode 12. Этот ErrorCode в настоящее время не экспортируется, но будет экспортирован в версии Go 1.21. Пользователи, которые полагаются на предыдущее поведение, могут снова включить его, используя флаг GODEBUG jstmpllitinterp=1, с оговоркой, что обратные кавычки теперь будут экранированы. Это следует использовать с осторожностью.        </w:t>
      </w:r>
    </w:p>
    <w:p w14:paraId="3D000000">
      <w:pPr>
        <w:numPr>
          <w:numId w:val="14"/>
        </w:numPr>
        <w:ind w:firstLine="1134" w:left="0"/>
        <w:jc w:val="left"/>
      </w:pPr>
      <w:r>
        <w:t xml:space="preserve">Устранение уязвимости: </w:t>
      </w:r>
      <w:r>
        <w:t>Данная уязвимость устраняется официальным патчем вендора. В связи со сложившейся обстановкой и введенными санкциями против Российской Федерации рекомендуем устанавливать обновления программного обеспечения только после оценки всех сопутствующих рисков.</w:t>
      </w:r>
    </w:p>
    <w:p w14:paraId="3E000000">
      <w:pPr>
        <w:numPr>
          <w:numId w:val="14"/>
        </w:numPr>
        <w:ind w:firstLine="1134" w:left="0"/>
        <w:jc w:val="left"/>
      </w:pPr>
      <w:r>
        <w:t xml:space="preserve">Скриншот отображения уязвимости: </w:t>
      </w:r>
    </w:p>
    <w:p w14:paraId="3F000000">
      <w:pPr>
        <w:ind w:firstLine="0" w:left="0"/>
        <w:jc w:val="center"/>
      </w:pPr>
      <w:r>
        <w:drawing>
          <wp:inline>
            <wp:extent cx="5534121" cy="3444671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tretch/>
                  </pic:blipFill>
                  <pic:spPr>
                    <a:xfrm flipH="false" flipV="false" rot="0">
                      <a:ext cx="5534121" cy="3444671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40000000">
      <w:pPr>
        <w:ind w:firstLine="0" w:left="0"/>
        <w:jc w:val="center"/>
      </w:pPr>
    </w:p>
    <w:p w14:paraId="41000000">
      <w:pPr>
        <w:numPr>
          <w:numId w:val="6"/>
        </w:numPr>
        <w:ind w:firstLine="709" w:left="0"/>
        <w:jc w:val="left"/>
      </w:pPr>
      <w:r>
        <w:t>В контейнере Flask</w:t>
      </w:r>
    </w:p>
    <w:p w14:paraId="42000000">
      <w:pPr>
        <w:numPr>
          <w:numId w:val="15"/>
        </w:numPr>
        <w:ind w:firstLine="709" w:left="0"/>
        <w:jc w:val="left"/>
      </w:pPr>
      <w:r>
        <w:t>Общий результат</w:t>
      </w:r>
    </w:p>
    <w:p w14:paraId="43000000">
      <w:pPr>
        <w:ind w:firstLine="0" w:left="0"/>
        <w:jc w:val="center"/>
      </w:pPr>
      <w:r>
        <w:drawing>
          <wp:inline>
            <wp:extent cx="4846205" cy="3000967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tretch/>
                  </pic:blipFill>
                  <pic:spPr>
                    <a:xfrm flipH="false" flipV="false" rot="0">
                      <a:ext cx="4846205" cy="3000967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4000000">
      <w:pPr>
        <w:numPr>
          <w:numId w:val="16"/>
        </w:numPr>
        <w:ind w:firstLine="709" w:left="0"/>
        <w:jc w:val="left"/>
      </w:pPr>
      <w:r>
        <w:t>Наиболее значимые уязвимости по оценкам сканера</w:t>
      </w:r>
    </w:p>
    <w:p w14:paraId="45000000">
      <w:pPr>
        <w:numPr>
          <w:numId w:val="17"/>
        </w:numPr>
        <w:ind w:firstLine="1134" w:left="0"/>
        <w:jc w:val="left"/>
      </w:pPr>
      <w:r>
        <w:t>Уязвимость 1:</w:t>
      </w:r>
    </w:p>
    <w:p w14:paraId="46000000">
      <w:pPr>
        <w:ind w:firstLine="1417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Код уязвимости: </w:t>
      </w:r>
      <w:r>
        <w:rPr>
          <w:rFonts w:ascii="Times New Roman" w:hAnsi="Times New Roman"/>
        </w:rPr>
        <w:t>CVE-2018-20225</w:t>
      </w:r>
    </w:p>
    <w:p w14:paraId="47000000">
      <w:pPr>
        <w:numPr>
          <w:numId w:val="18"/>
        </w:numPr>
        <w:ind w:firstLine="709" w:left="0"/>
        <w:jc w:val="left"/>
      </w:pPr>
      <w:r>
        <w:rPr>
          <w:rFonts w:ascii="Times New Roman" w:hAnsi="Times New Roman"/>
        </w:rPr>
        <w:t xml:space="preserve">Описание уязвимости: </w:t>
      </w:r>
      <w:r>
        <w:t xml:space="preserve"> В pip (все версии) обнаружена проблема, поскольку он устанавливает версию с наибольшим номером версии, даже если пользователь намеревался получить закрытый пакет из частного индекса. Это влияет только на использование параметра --extra-index-url, и для его использования требуется, чтобы пакет еще не существовал в общедоступном индексе (и, таким образом, злоумышленник может поместить туда пакет с произвольным номером версии).</w:t>
      </w:r>
    </w:p>
    <w:p w14:paraId="48000000">
      <w:pPr>
        <w:numPr>
          <w:numId w:val="18"/>
        </w:numPr>
        <w:ind w:firstLine="709" w:left="0"/>
      </w:pPr>
      <w:r>
        <w:t xml:space="preserve">Устранение уязвимости: </w:t>
      </w:r>
      <w:r>
        <w:t xml:space="preserve">Обновить pip до последней версии. Новые версии pip могут содержать исправления. </w:t>
      </w:r>
      <w:r>
        <w:t>pip install --upgrade pip</w:t>
      </w:r>
    </w:p>
    <w:p w14:paraId="49000000">
      <w:pPr>
        <w:numPr>
          <w:numId w:val="18"/>
        </w:numPr>
        <w:ind w:firstLine="709" w:left="0"/>
      </w:pPr>
      <w:r>
        <w:t>Скриншот отображения уязвимости:</w:t>
      </w:r>
    </w:p>
    <w:p w14:paraId="4A000000">
      <w:pPr>
        <w:ind w:firstLine="0" w:left="0"/>
        <w:jc w:val="center"/>
      </w:pPr>
      <w:r>
        <w:drawing>
          <wp:inline>
            <wp:extent cx="4401704" cy="2716013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4401704" cy="2716013"/>
                    </a:xfrm>
                    <a:prstGeom prst="rect"/>
                  </pic:spPr>
                </pic:pic>
              </a:graphicData>
            </a:graphic>
          </wp:inline>
        </w:drawing>
      </w:r>
      <w:r>
        <w:br w:type="page"/>
      </w:r>
    </w:p>
    <w:p w14:paraId="4B000000">
      <w:pPr>
        <w:numPr>
          <w:numId w:val="6"/>
        </w:numPr>
        <w:ind w:firstLine="709" w:left="0"/>
      </w:pPr>
      <w:r>
        <w:t>В контейнере Nginx</w:t>
      </w:r>
    </w:p>
    <w:p w14:paraId="4C000000">
      <w:pPr>
        <w:numPr>
          <w:numId w:val="19"/>
        </w:numPr>
        <w:ind w:firstLine="709" w:left="0"/>
      </w:pPr>
      <w:r>
        <w:t>Общий результат</w:t>
      </w:r>
    </w:p>
    <w:p w14:paraId="4D000000">
      <w:pPr>
        <w:ind w:firstLine="0" w:left="0"/>
        <w:jc w:val="center"/>
      </w:pPr>
      <w:r>
        <w:drawing>
          <wp:inline>
            <wp:extent cx="4687454" cy="2899232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4687454" cy="2899232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E000000">
      <w:pPr>
        <w:numPr>
          <w:numId w:val="20"/>
        </w:numPr>
        <w:ind w:firstLine="709" w:left="0"/>
        <w:jc w:val="left"/>
      </w:pPr>
      <w:r>
        <w:t>Наиболее значимые уязвимости по оценкам сканера</w:t>
      </w:r>
    </w:p>
    <w:p w14:paraId="4F000000">
      <w:pPr>
        <w:numPr>
          <w:numId w:val="21"/>
        </w:numPr>
        <w:ind w:firstLine="1134" w:left="0"/>
        <w:jc w:val="left"/>
      </w:pPr>
      <w:r>
        <w:t>Уязвимость 1:</w:t>
      </w:r>
    </w:p>
    <w:p w14:paraId="50000000">
      <w:pPr>
        <w:ind w:firstLine="1417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Код уязвимости: </w:t>
      </w:r>
      <w:r>
        <w:t>CVE-2024-28182</w:t>
      </w:r>
    </w:p>
    <w:p w14:paraId="51000000">
      <w:pPr>
        <w:numPr>
          <w:numId w:val="22"/>
        </w:numPr>
        <w:ind w:firstLine="709" w:left="0"/>
        <w:jc w:val="left"/>
      </w:pPr>
      <w:r>
        <w:rPr>
          <w:rFonts w:ascii="Times New Roman" w:hAnsi="Times New Roman"/>
        </w:rPr>
        <w:t xml:space="preserve">Описание уязвимости: </w:t>
      </w:r>
      <w:r>
        <w:t xml:space="preserve"> </w:t>
      </w:r>
      <w:r>
        <w:t xml:space="preserve">nghttp2 — это реализация протокола передачи гипертекста версии 2 на C. Библиотека nghttp2 до версии 1.61.0 продолжает читать неограниченное количество кадров ПРОДОЛЖЕНИЯ HTTP/2 даже после сброса потока, чтобы поддерживать синхронизацию контекста HPACK. Это приводит к чрезмерной загрузке ЦП для декодирования потока HPACK. nghttp2 v1.61.0 смягчает эту уязвимость, ограничивая количество кадров ПРОДОЛЖЕНИЯ, которые он принимает на поток. Обхода этой уязвимости не существует.          </w:t>
      </w:r>
    </w:p>
    <w:p w14:paraId="52000000">
      <w:pPr>
        <w:numPr>
          <w:numId w:val="22"/>
        </w:numPr>
        <w:ind w:firstLine="709"/>
      </w:pPr>
      <w:r>
        <w:t xml:space="preserve">Устранение уязвимости: </w:t>
      </w:r>
      <w:r>
        <w:t>Запретить использование в ОС пакета nghttp2 или установить обновление для пакета(ов) nghttp2</w:t>
      </w:r>
    </w:p>
    <w:p w14:paraId="53000000">
      <w:pPr>
        <w:numPr>
          <w:numId w:val="23"/>
        </w:numPr>
        <w:ind w:firstLine="709" w:left="0"/>
      </w:pPr>
      <w:r>
        <w:t>Скриншот отображения уязвимости:</w:t>
      </w:r>
    </w:p>
    <w:p w14:paraId="54000000">
      <w:pPr>
        <w:ind w:firstLine="0" w:left="0"/>
        <w:jc w:val="center"/>
      </w:pPr>
      <w:r>
        <w:drawing>
          <wp:inline>
            <wp:extent cx="4655707" cy="2897639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4655707" cy="2897639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h="16838" w:orient="portrait" w:w="11906"/>
      <w:pgMar w:bottom="1134" w:left="1304" w:right="737" w:top="1134"/>
      <w:pgNumType w:fmt="decimal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numbering.xml><?xml version="1.0" encoding="utf-8"?>
<w:numbering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abstractNum w:abstractNumId="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">
    <w:lvl w:ilvl="0">
      <w:start w:val="1"/>
      <w:numFmt w:val="decimal"/>
      <w:lvlText w:val="%1."/>
      <w:pPr>
        <w:ind w:hanging="360" w:left="360"/>
      </w:pPr>
    </w:lvl>
    <w:lvl w:ilvl="1">
      <w:start w:val="1"/>
      <w:numFmt w:val="decimal"/>
      <w:lvlText w:val="%1.%2."/>
      <w:pPr>
        <w:ind w:hanging="430" w:left="790"/>
      </w:pPr>
    </w:lvl>
    <w:lvl w:ilvl="2">
      <w:start w:val="1"/>
      <w:numFmt w:val="decimal"/>
      <w:lvlText w:val="%1.%2.%3."/>
      <w:pPr>
        <w:ind w:hanging="505" w:left="1225"/>
      </w:pPr>
    </w:lvl>
    <w:lvl w:ilvl="3">
      <w:start w:val="1"/>
      <w:numFmt w:val="decimal"/>
      <w:lvlText w:val="%1.%2.%3.%4."/>
      <w:pPr>
        <w:ind w:hanging="650" w:left="1730"/>
      </w:pPr>
    </w:lvl>
    <w:lvl w:ilvl="4">
      <w:start w:val="1"/>
      <w:numFmt w:val="decimal"/>
      <w:lvlText w:val="%1.%2.%3.%4.%5."/>
      <w:pPr>
        <w:ind w:hanging="790" w:left="2230"/>
      </w:pPr>
    </w:lvl>
    <w:lvl w:ilvl="5">
      <w:start w:val="1"/>
      <w:numFmt w:val="decimal"/>
      <w:lvlText w:val="%1.%2.%3.%4.%5.%6."/>
      <w:pPr>
        <w:ind w:hanging="935" w:left="2735"/>
      </w:pPr>
    </w:lvl>
    <w:lvl w:ilvl="6">
      <w:start w:val="1"/>
      <w:numFmt w:val="decimal"/>
      <w:lvlText w:val="%1.%2.%3.%4.%5.%6.%7."/>
      <w:pPr>
        <w:ind w:hanging="1080" w:left="3240"/>
      </w:pPr>
    </w:lvl>
    <w:lvl w:ilvl="7">
      <w:start w:val="1"/>
      <w:numFmt w:val="decimal"/>
      <w:lvlText w:val="%1.%2.%3.%4.%5.%6.%7.%8."/>
      <w:pPr>
        <w:ind w:hanging="1225" w:left="3745"/>
      </w:pPr>
    </w:lvl>
    <w:lvl w:ilvl="8">
      <w:start w:val="1"/>
      <w:numFmt w:val="decimal"/>
      <w:lvlText w:val="%1.%2.%3.%4.%5.%6.%7.%8.%9."/>
      <w:pPr>
        <w:ind w:hanging="1440" w:left="4320"/>
      </w:pPr>
    </w:lvl>
  </w:abstractNum>
  <w:abstractNum w:abstractNumId="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5">
    <w:lvl w:ilvl="0">
      <w:start w:val="1"/>
      <w:numFmt w:val="decimal"/>
      <w:lvlText w:val="%1."/>
      <w:pPr>
        <w:ind w:hanging="360" w:left="720"/>
      </w:pPr>
    </w:lvl>
    <w:lvl w:ilvl="1">
      <w:start w:val="1"/>
      <w:numFmt w:val="lowerLetter"/>
      <w:lvlText w:val="%2."/>
      <w:pPr>
        <w:ind w:hanging="360" w:left="1440"/>
      </w:pPr>
    </w:lvl>
    <w:lvl w:ilvl="2">
      <w:start w:val="1"/>
      <w:numFmt w:val="lowerRoman"/>
      <w:lvlText w:val="%3."/>
      <w:lvlJc w:val="right"/>
      <w:pPr>
        <w:ind w:hanging="360" w:left="2160"/>
      </w:pPr>
    </w:lvl>
    <w:lvl w:ilvl="3">
      <w:start w:val="1"/>
      <w:numFmt w:val="decimal"/>
      <w:lvlText w:val="%4."/>
      <w:pPr>
        <w:ind w:hanging="360" w:left="2880"/>
      </w:pPr>
    </w:lvl>
    <w:lvl w:ilvl="4">
      <w:start w:val="1"/>
      <w:numFmt w:val="lowerLetter"/>
      <w:lvlText w:val="%5."/>
      <w:pPr>
        <w:ind w:hanging="360" w:left="3600"/>
      </w:pPr>
    </w:lvl>
    <w:lvl w:ilvl="5">
      <w:start w:val="1"/>
      <w:numFmt w:val="lowerRoman"/>
      <w:lvlText w:val="%6."/>
      <w:lvlJc w:val="right"/>
      <w:pPr>
        <w:ind w:hanging="360" w:left="4320"/>
      </w:pPr>
    </w:lvl>
    <w:lvl w:ilvl="6">
      <w:start w:val="1"/>
      <w:numFmt w:val="decimal"/>
      <w:lvlText w:val="%7."/>
      <w:pPr>
        <w:ind w:hanging="360" w:left="5040"/>
      </w:pPr>
    </w:lvl>
    <w:lvl w:ilvl="7">
      <w:start w:val="1"/>
      <w:numFmt w:val="lowerLetter"/>
      <w:lvlText w:val="%8."/>
      <w:pPr>
        <w:ind w:hanging="360" w:left="5760"/>
      </w:pPr>
    </w:lvl>
    <w:lvl w:ilvl="8">
      <w:start w:val="1"/>
      <w:numFmt w:val="lowerRoman"/>
      <w:lvlText w:val="%9."/>
      <w:lvlJc w:val="right"/>
      <w:pPr>
        <w:ind w:hanging="360" w:left="6480"/>
      </w:pPr>
    </w:lvl>
  </w:abstractNum>
  <w:abstractNum w:abstractNumId="6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8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2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3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4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5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6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7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8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19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0">
    <w:lvl w:ilvl="0">
      <w:numFmt w:val="bullet"/>
      <w:lvlText w:val=""/>
      <w:pPr>
        <w:ind w:hanging="360" w:left="720"/>
      </w:pPr>
      <w:rPr>
        <w:rFonts w:ascii="Symbol" w:hAnsi="Symbol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"/>
      <w:pPr>
        <w:ind w:hanging="360" w:left="2880"/>
      </w:pPr>
      <w:rPr>
        <w:rFonts w:ascii="Symbol" w:hAnsi="Symbol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"/>
      <w:pPr>
        <w:ind w:hanging="360" w:left="5040"/>
      </w:pPr>
      <w:rPr>
        <w:rFonts w:ascii="Symbol" w:hAnsi="Symbol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1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abstractNum w:abstractNumId="22">
    <w:lvl w:ilvl="0">
      <w:numFmt w:val="bullet"/>
      <w:lvlText w:val="-"/>
      <w:pPr>
        <w:ind w:hanging="360" w:left="720"/>
      </w:pPr>
      <w:rPr>
        <w:rFonts w:ascii="Calibri" w:hAnsi="Calibri"/>
      </w:rPr>
    </w:lvl>
    <w:lvl w:ilvl="1">
      <w:numFmt w:val="bullet"/>
      <w:lvlText w:val="o"/>
      <w:pPr>
        <w:ind w:hanging="360" w:left="1440"/>
      </w:pPr>
      <w:rPr>
        <w:rFonts w:ascii="Courier New" w:hAnsi="Courier New"/>
      </w:rPr>
    </w:lvl>
    <w:lvl w:ilvl="2">
      <w:numFmt w:val="bullet"/>
      <w:lvlText w:val=""/>
      <w:pPr>
        <w:ind w:hanging="360" w:left="2160"/>
      </w:pPr>
      <w:rPr>
        <w:rFonts w:ascii="Wingdings" w:hAnsi="Wingdings"/>
      </w:rPr>
    </w:lvl>
    <w:lvl w:ilvl="3">
      <w:numFmt w:val="bullet"/>
      <w:lvlText w:val="-"/>
      <w:pPr>
        <w:ind w:hanging="360" w:left="2880"/>
      </w:pPr>
      <w:rPr>
        <w:rFonts w:ascii="Calibri" w:hAnsi="Calibri"/>
      </w:rPr>
    </w:lvl>
    <w:lvl w:ilvl="4">
      <w:numFmt w:val="bullet"/>
      <w:lvlText w:val="o"/>
      <w:pPr>
        <w:ind w:hanging="360" w:left="3600"/>
      </w:pPr>
      <w:rPr>
        <w:rFonts w:ascii="Courier New" w:hAnsi="Courier New"/>
      </w:rPr>
    </w:lvl>
    <w:lvl w:ilvl="5">
      <w:numFmt w:val="bullet"/>
      <w:lvlText w:val=""/>
      <w:pPr>
        <w:ind w:hanging="360" w:left="4320"/>
      </w:pPr>
      <w:rPr>
        <w:rFonts w:ascii="Wingdings" w:hAnsi="Wingdings"/>
      </w:rPr>
    </w:lvl>
    <w:lvl w:ilvl="6">
      <w:numFmt w:val="bullet"/>
      <w:lvlText w:val="-"/>
      <w:pPr>
        <w:ind w:hanging="360" w:left="5040"/>
      </w:pPr>
      <w:rPr>
        <w:rFonts w:ascii="Calibri" w:hAnsi="Calibri"/>
      </w:rPr>
    </w:lvl>
    <w:lvl w:ilvl="7">
      <w:numFmt w:val="bullet"/>
      <w:lvlText w:val="o"/>
      <w:pPr>
        <w:ind w:hanging="360" w:left="5760"/>
      </w:pPr>
      <w:rPr>
        <w:rFonts w:ascii="Courier New" w:hAnsi="Courier New"/>
      </w:rPr>
    </w:lvl>
    <w:lvl w:ilvl="8">
      <w:numFmt w:val="bullet"/>
      <w:lvlText w:val=""/>
      <w:pPr>
        <w:ind w:hanging="360" w:left="6480"/>
      </w:pPr>
      <w:rPr>
        <w:rFonts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</w:numbering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20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="XO Thames" w:hAnsi="XO Thames"/>
        <w:color w:val="000000"/>
        <w:spacing w:val="0"/>
        <w:sz w:val="24"/>
      </w:rPr>
    </w:rPrDefault>
    <w:pPrDefault>
      <w:pPr>
        <w:spacing w:after="0" w:before="0" w:line="240" w:lineRule="auto"/>
        <w:ind w:firstLine="0" w:left="0" w:right="0"/>
        <w:jc w:val="left"/>
      </w:pPr>
    </w:pPrDefault>
  </w:docDefaults>
  <w:latentStyles w:count="25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End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1" w:type="paragraph">
    <w:name w:val="Normal"/>
    <w:link w:val="Style_1_ch"/>
    <w:uiPriority w:val="0"/>
    <w:qFormat/>
    <w:pPr>
      <w:spacing w:line="240" w:lineRule="auto"/>
      <w:ind/>
      <w:jc w:val="both"/>
    </w:pPr>
    <w:rPr>
      <w:rFonts w:ascii="XO Thames" w:hAnsi="XO Thames"/>
      <w:sz w:val="28"/>
    </w:rPr>
  </w:style>
  <w:style w:default="1" w:styleId="Style_1_ch" w:type="character">
    <w:name w:val="Normal"/>
    <w:link w:val="Style_1"/>
    <w:rPr>
      <w:rFonts w:ascii="XO Thames" w:hAnsi="XO Thames"/>
      <w:sz w:val="28"/>
    </w:rPr>
  </w:style>
  <w:style w:styleId="Style_3" w:type="paragraph">
    <w:name w:val="toc 2"/>
    <w:next w:val="Style_1"/>
    <w:link w:val="Style_3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3_ch" w:type="character">
    <w:name w:val="toc 2"/>
    <w:link w:val="Style_3"/>
    <w:rPr>
      <w:rFonts w:ascii="XO Thames" w:hAnsi="XO Thames"/>
      <w:sz w:val="28"/>
    </w:rPr>
  </w:style>
  <w:style w:styleId="Style_4" w:type="paragraph">
    <w:name w:val="toc 4"/>
    <w:next w:val="Style_1"/>
    <w:link w:val="Style_4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4_ch" w:type="character">
    <w:name w:val="toc 4"/>
    <w:link w:val="Style_4"/>
    <w:rPr>
      <w:rFonts w:ascii="XO Thames" w:hAnsi="XO Thames"/>
      <w:sz w:val="28"/>
    </w:rPr>
  </w:style>
  <w:style w:styleId="Style_5" w:type="paragraph">
    <w:name w:val="toc 6"/>
    <w:next w:val="Style_1"/>
    <w:link w:val="Style_5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5_ch" w:type="character">
    <w:name w:val="toc 6"/>
    <w:link w:val="Style_5"/>
    <w:rPr>
      <w:rFonts w:ascii="XO Thames" w:hAnsi="XO Thames"/>
      <w:sz w:val="28"/>
    </w:rPr>
  </w:style>
  <w:style w:styleId="Style_6" w:type="paragraph">
    <w:name w:val="toc 7"/>
    <w:next w:val="Style_1"/>
    <w:link w:val="Style_6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6_ch" w:type="character">
    <w:name w:val="toc 7"/>
    <w:link w:val="Style_6"/>
    <w:rPr>
      <w:rFonts w:ascii="XO Thames" w:hAnsi="XO Thames"/>
      <w:sz w:val="28"/>
    </w:rPr>
  </w:style>
  <w:style w:styleId="Style_7" w:type="paragraph">
    <w:name w:val="Endnote"/>
    <w:link w:val="Style_7_ch"/>
    <w:pPr>
      <w:ind w:firstLine="851" w:left="0"/>
      <w:jc w:val="both"/>
    </w:pPr>
    <w:rPr>
      <w:rFonts w:ascii="XO Thames" w:hAnsi="XO Thames"/>
      <w:sz w:val="22"/>
    </w:rPr>
  </w:style>
  <w:style w:styleId="Style_7_ch" w:type="character">
    <w:name w:val="Endnote"/>
    <w:link w:val="Style_7"/>
    <w:rPr>
      <w:rFonts w:ascii="XO Thames" w:hAnsi="XO Thames"/>
      <w:sz w:val="22"/>
    </w:rPr>
  </w:style>
  <w:style w:styleId="Style_8" w:type="paragraph">
    <w:name w:val="heading 3"/>
    <w:next w:val="Style_1"/>
    <w:link w:val="Style_8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8_ch" w:type="character">
    <w:name w:val="heading 3"/>
    <w:link w:val="Style_8"/>
    <w:rPr>
      <w:rFonts w:ascii="XO Thames" w:hAnsi="XO Thames"/>
      <w:b w:val="1"/>
      <w:sz w:val="26"/>
    </w:rPr>
  </w:style>
  <w:style w:styleId="Style_9" w:type="paragraph">
    <w:name w:val="toc 3"/>
    <w:next w:val="Style_1"/>
    <w:link w:val="Style_9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9_ch" w:type="character">
    <w:name w:val="toc 3"/>
    <w:link w:val="Style_9"/>
    <w:rPr>
      <w:rFonts w:ascii="XO Thames" w:hAnsi="XO Thames"/>
      <w:sz w:val="28"/>
    </w:rPr>
  </w:style>
  <w:style w:styleId="Style_10" w:type="paragraph">
    <w:name w:val="heading 5"/>
    <w:next w:val="Style_1"/>
    <w:link w:val="Style_10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0_ch" w:type="character">
    <w:name w:val="heading 5"/>
    <w:link w:val="Style_10"/>
    <w:rPr>
      <w:rFonts w:ascii="XO Thames" w:hAnsi="XO Thames"/>
      <w:b w:val="1"/>
      <w:sz w:val="22"/>
    </w:rPr>
  </w:style>
  <w:style w:styleId="Style_11" w:type="paragraph">
    <w:name w:val="heading 1"/>
    <w:next w:val="Style_1"/>
    <w:link w:val="Style_11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1_ch" w:type="character">
    <w:name w:val="heading 1"/>
    <w:link w:val="Style_11"/>
    <w:rPr>
      <w:rFonts w:ascii="XO Thames" w:hAnsi="XO Thames"/>
      <w:b w:val="1"/>
      <w:sz w:val="32"/>
    </w:rPr>
  </w:style>
  <w:style w:styleId="Style_2" w:type="paragraph">
    <w:name w:val="Hyperlink"/>
    <w:link w:val="Style_2_ch"/>
    <w:rPr>
      <w:color w:val="0000FF"/>
      <w:u w:val="single"/>
    </w:rPr>
  </w:style>
  <w:style w:styleId="Style_2_ch" w:type="character">
    <w:name w:val="Hyperlink"/>
    <w:link w:val="Style_2"/>
    <w:rPr>
      <w:color w:val="0000FF"/>
      <w:u w:val="single"/>
    </w:rPr>
  </w:style>
  <w:style w:styleId="Style_12" w:type="paragraph">
    <w:name w:val="Footnote"/>
    <w:link w:val="Style_12_ch"/>
    <w:pPr>
      <w:ind w:firstLine="851" w:left="0"/>
      <w:jc w:val="both"/>
    </w:pPr>
    <w:rPr>
      <w:rFonts w:ascii="XO Thames" w:hAnsi="XO Thames"/>
      <w:sz w:val="22"/>
    </w:rPr>
  </w:style>
  <w:style w:styleId="Style_12_ch" w:type="character">
    <w:name w:val="Footnote"/>
    <w:link w:val="Style_12"/>
    <w:rPr>
      <w:rFonts w:ascii="XO Thames" w:hAnsi="XO Thames"/>
      <w:sz w:val="22"/>
    </w:rPr>
  </w:style>
  <w:style w:styleId="Style_13" w:type="paragraph">
    <w:name w:val="toc 1"/>
    <w:next w:val="Style_1"/>
    <w:link w:val="Style_13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3_ch" w:type="character">
    <w:name w:val="toc 1"/>
    <w:link w:val="Style_13"/>
    <w:rPr>
      <w:rFonts w:ascii="XO Thames" w:hAnsi="XO Thames"/>
      <w:b w:val="1"/>
      <w:sz w:val="28"/>
    </w:rPr>
  </w:style>
  <w:style w:styleId="Style_14" w:type="paragraph">
    <w:name w:val="Header and Footer"/>
    <w:link w:val="Style_14_ch"/>
    <w:pPr>
      <w:spacing w:line="240" w:lineRule="auto"/>
      <w:ind/>
      <w:jc w:val="both"/>
    </w:pPr>
    <w:rPr>
      <w:rFonts w:ascii="XO Thames" w:hAnsi="XO Thames"/>
      <w:sz w:val="28"/>
    </w:rPr>
  </w:style>
  <w:style w:styleId="Style_14_ch" w:type="character">
    <w:name w:val="Header and Footer"/>
    <w:link w:val="Style_14"/>
    <w:rPr>
      <w:rFonts w:ascii="XO Thames" w:hAnsi="XO Thames"/>
      <w:sz w:val="28"/>
    </w:rPr>
  </w:style>
  <w:style w:styleId="Style_15" w:type="paragraph">
    <w:name w:val="toc 9"/>
    <w:next w:val="Style_1"/>
    <w:link w:val="Style_15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5_ch" w:type="character">
    <w:name w:val="toc 9"/>
    <w:link w:val="Style_15"/>
    <w:rPr>
      <w:rFonts w:ascii="XO Thames" w:hAnsi="XO Thames"/>
      <w:sz w:val="28"/>
    </w:rPr>
  </w:style>
  <w:style w:styleId="Style_16" w:type="paragraph">
    <w:name w:val="toc 8"/>
    <w:next w:val="Style_1"/>
    <w:link w:val="Style_16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6_ch" w:type="character">
    <w:name w:val="toc 8"/>
    <w:link w:val="Style_16"/>
    <w:rPr>
      <w:rFonts w:ascii="XO Thames" w:hAnsi="XO Thames"/>
      <w:sz w:val="28"/>
    </w:rPr>
  </w:style>
  <w:style w:styleId="Style_17" w:type="paragraph">
    <w:name w:val="toc 5"/>
    <w:next w:val="Style_1"/>
    <w:link w:val="Style_17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7_ch" w:type="character">
    <w:name w:val="toc 5"/>
    <w:link w:val="Style_17"/>
    <w:rPr>
      <w:rFonts w:ascii="XO Thames" w:hAnsi="XO Thames"/>
      <w:sz w:val="28"/>
    </w:rPr>
  </w:style>
  <w:style w:styleId="Style_18" w:type="paragraph">
    <w:name w:val="Subtitle"/>
    <w:next w:val="Style_1"/>
    <w:link w:val="Style_18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8_ch" w:type="character">
    <w:name w:val="Subtitle"/>
    <w:link w:val="Style_18"/>
    <w:rPr>
      <w:rFonts w:ascii="XO Thames" w:hAnsi="XO Thames"/>
      <w:i w:val="1"/>
      <w:sz w:val="24"/>
    </w:rPr>
  </w:style>
  <w:style w:styleId="Style_19" w:type="paragraph">
    <w:name w:val="Title"/>
    <w:next w:val="Style_1"/>
    <w:link w:val="Style_19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19_ch" w:type="character">
    <w:name w:val="Title"/>
    <w:link w:val="Style_19"/>
    <w:rPr>
      <w:rFonts w:ascii="XO Thames" w:hAnsi="XO Thames"/>
      <w:b w:val="1"/>
      <w:caps w:val="1"/>
      <w:sz w:val="40"/>
    </w:rPr>
  </w:style>
  <w:style w:styleId="Style_20" w:type="paragraph">
    <w:name w:val="heading 4"/>
    <w:next w:val="Style_1"/>
    <w:link w:val="Style_20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0_ch" w:type="character">
    <w:name w:val="heading 4"/>
    <w:link w:val="Style_20"/>
    <w:rPr>
      <w:rFonts w:ascii="XO Thames" w:hAnsi="XO Thames"/>
      <w:b w:val="1"/>
      <w:sz w:val="24"/>
    </w:rPr>
  </w:style>
  <w:style w:styleId="Style_21" w:type="paragraph">
    <w:name w:val="heading 2"/>
    <w:next w:val="Style_1"/>
    <w:link w:val="Style_21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1_ch" w:type="character">
    <w:name w:val="heading 2"/>
    <w:link w:val="Style_21"/>
    <w:rPr>
      <w:rFonts w:ascii="XO Thames" w:hAnsi="XO Thames"/>
      <w:b w:val="1"/>
      <w:sz w:val="28"/>
    </w:r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17" Target="numbering.xml" Type="http://schemas.openxmlformats.org/officeDocument/2006/relationships/numbering"/>
  <Relationship Id="rId7" Target="media/7.png" Type="http://schemas.openxmlformats.org/officeDocument/2006/relationships/image"/>
  <Relationship Id="rId6" Target="media/6.png" Type="http://schemas.openxmlformats.org/officeDocument/2006/relationships/image"/>
  <Relationship Id="rId14" Target="stylesWithEffects.xml" Type="http://schemas.microsoft.com/office/2007/relationships/stylesWithEffects"/>
  <Relationship Id="rId13" Target="styles.xml" Type="http://schemas.openxmlformats.org/officeDocument/2006/relationships/styles"/>
  <Relationship Id="rId4" Target="media/4.png" Type="http://schemas.openxmlformats.org/officeDocument/2006/relationships/image"/>
  <Relationship Id="rId3" Target="media/3.png" Type="http://schemas.openxmlformats.org/officeDocument/2006/relationships/image"/>
  <Relationship Id="rId12" Target="settings.xml" Type="http://schemas.openxmlformats.org/officeDocument/2006/relationships/settings"/>
  <Relationship Id="rId10" Target="media/10.png" Type="http://schemas.openxmlformats.org/officeDocument/2006/relationships/image"/>
  <Relationship Id="rId5" Target="media/5.png" Type="http://schemas.openxmlformats.org/officeDocument/2006/relationships/image"/>
  <Relationship Id="rId11" Target="fontTable.xml" Type="http://schemas.openxmlformats.org/officeDocument/2006/relationships/fontTable"/>
  <Relationship Id="rId8" Target="media/8.png" Type="http://schemas.openxmlformats.org/officeDocument/2006/relationships/image"/>
  <Relationship Id="rId16" Target="theme/theme1.xml" Type="http://schemas.openxmlformats.org/officeDocument/2006/relationships/theme"/>
  <Relationship Id="rId2" Target="media/2.png" Type="http://schemas.openxmlformats.org/officeDocument/2006/relationships/image"/>
  <Relationship Id="rId9" Target="media/9.png" Type="http://schemas.openxmlformats.org/officeDocument/2006/relationships/image"/>
  <Relationship Id="rId15" Target="webSettings.xml" Type="http://schemas.openxmlformats.org/officeDocument/2006/relationships/webSettings"/>
  <Relationship Id="rId1" Target="media/1.pn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2ac="http://schemas.microsoft.com/office/spreadsheetml/2011/1/ac" xmlns:x14="http://schemas.microsoft.com/office/spreadsheetml/2009/9/main" xmlns:xdr="http://schemas.openxmlformats.org/drawingml/2006/spreadsheetDrawing" xmlns:xm="http://schemas.microsoft.com/office/exce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XO Thames"/>
        <a:ea typeface=""/>
        <a:cs typeface=""/>
      </a:majorFont>
      <a:minorFont>
        <a:latin typeface="XO Thames"/>
        <a:ea typeface=""/>
        <a:cs typeface="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63000"/>
                <a:satMod val="300000"/>
              </a:schemeClr>
            </a:gs>
            <a:gs pos="100000">
              <a:schemeClr val="phClr">
                <a:tint val="85000"/>
                <a:satMod val="350000"/>
              </a:schemeClr>
            </a:gs>
          </a:gsLst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</a:gradFill>
      </a:fillStyleLst>
      <a:lnStyleLst>
        <a:ln>
          <a:solidFill>
            <a:schemeClr val="phClr">
              <a:shade val="95000"/>
              <a:satMod val="105000"/>
            </a:schemeClr>
          </a:solidFill>
        </a:ln>
        <a:ln>
          <a:solidFill>
            <a:schemeClr val="phClr"/>
          </a:solidFill>
        </a:ln>
        <a:ln>
          <a:solidFill>
            <a:schemeClr val="phClr"/>
          </a:solidFill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60000"/>
                <a:satMod val="350000"/>
              </a:schemeClr>
            </a:gs>
            <a:gs pos="40000">
              <a:schemeClr val="phClr">
                <a:tint val="5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</a:gradFill>
        <a:gradFill>
          <a:gsLst>
            <a:gs pos="0">
              <a:schemeClr val="phClr">
                <a:tint val="2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MyOffice-CoreFramework-Windows/31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2024-06-28T08:31:51Z</dcterms:modified>
</cp:coreProperties>
</file>